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86" w:rsidRDefault="00846D86" w:rsidP="00846D86">
      <w:pPr>
        <w:shd w:val="clear" w:color="auto" w:fill="FFFFFF"/>
        <w:jc w:val="center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b/>
          <w:bCs/>
          <w:color w:val="333333"/>
          <w:sz w:val="24"/>
          <w:szCs w:val="24"/>
        </w:rPr>
        <w:t>SEC. 4024. </w:t>
      </w:r>
      <w:r>
        <w:rPr>
          <w:rFonts w:ascii="Times" w:hAnsi="Times" w:cs="Times"/>
          <w:b/>
          <w:bCs/>
          <w:caps/>
          <w:color w:val="333333"/>
          <w:sz w:val="24"/>
          <w:szCs w:val="24"/>
        </w:rPr>
        <w:t>TEMPORARY MORATORIUM ON EVICTION FILINGS</w:t>
      </w:r>
      <w:r>
        <w:rPr>
          <w:rFonts w:ascii="Times" w:hAnsi="Times" w:cs="Times"/>
          <w:b/>
          <w:bCs/>
          <w:color w:val="333333"/>
          <w:sz w:val="24"/>
          <w:szCs w:val="24"/>
        </w:rPr>
        <w:t>.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(a) </w:t>
      </w:r>
      <w:proofErr w:type="gramStart"/>
      <w:r>
        <w:rPr>
          <w:rFonts w:ascii="Times" w:hAnsi="Times" w:cs="Times"/>
          <w:smallCaps/>
          <w:color w:val="333333"/>
          <w:spacing w:val="20"/>
          <w:sz w:val="24"/>
          <w:szCs w:val="24"/>
        </w:rPr>
        <w:t>Definitions</w:t>
      </w:r>
      <w:r>
        <w:rPr>
          <w:rFonts w:ascii="Times" w:hAnsi="Times" w:cs="Times"/>
          <w:color w:val="333333"/>
          <w:sz w:val="24"/>
          <w:szCs w:val="24"/>
        </w:rPr>
        <w:t>.—</w:t>
      </w:r>
      <w:proofErr w:type="gramEnd"/>
      <w:r>
        <w:rPr>
          <w:rFonts w:ascii="Times" w:hAnsi="Times" w:cs="Times"/>
          <w:color w:val="333333"/>
          <w:sz w:val="24"/>
          <w:szCs w:val="24"/>
        </w:rPr>
        <w:t>In this section: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(1) </w:t>
      </w:r>
      <w:r>
        <w:rPr>
          <w:rFonts w:ascii="Times" w:hAnsi="Times" w:cs="Times"/>
          <w:color w:val="333333"/>
          <w:sz w:val="26"/>
          <w:szCs w:val="26"/>
        </w:rPr>
        <w:t>C</w:t>
      </w:r>
      <w:r>
        <w:rPr>
          <w:rFonts w:ascii="Times" w:hAnsi="Times" w:cs="Times"/>
          <w:color w:val="333333"/>
          <w:sz w:val="24"/>
          <w:szCs w:val="24"/>
        </w:rPr>
        <w:t xml:space="preserve">OVERED </w:t>
      </w:r>
      <w:proofErr w:type="gramStart"/>
      <w:r>
        <w:rPr>
          <w:rFonts w:ascii="Times" w:hAnsi="Times" w:cs="Times"/>
          <w:color w:val="333333"/>
          <w:sz w:val="24"/>
          <w:szCs w:val="24"/>
        </w:rPr>
        <w:t>DWELLING.—</w:t>
      </w:r>
      <w:proofErr w:type="gramEnd"/>
      <w:r>
        <w:rPr>
          <w:rFonts w:ascii="Times" w:hAnsi="Times" w:cs="Times"/>
          <w:color w:val="333333"/>
          <w:sz w:val="24"/>
          <w:szCs w:val="24"/>
        </w:rPr>
        <w:t>The term “covered dwelling” means a dwelling that—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(A) is occupied by a tenant—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</w:t>
      </w:r>
      <w:proofErr w:type="spellStart"/>
      <w:r>
        <w:rPr>
          <w:rFonts w:ascii="Times" w:hAnsi="Times" w:cs="Times"/>
          <w:color w:val="333333"/>
          <w:sz w:val="24"/>
          <w:szCs w:val="24"/>
        </w:rPr>
        <w:t>i</w:t>
      </w:r>
      <w:proofErr w:type="spellEnd"/>
      <w:r>
        <w:rPr>
          <w:rFonts w:ascii="Times" w:hAnsi="Times" w:cs="Times"/>
          <w:color w:val="333333"/>
          <w:sz w:val="24"/>
          <w:szCs w:val="24"/>
        </w:rPr>
        <w:t>) pursuant to a res</w:t>
      </w:r>
      <w:bookmarkStart w:id="0" w:name="_GoBack"/>
      <w:bookmarkEnd w:id="0"/>
      <w:r>
        <w:rPr>
          <w:rFonts w:ascii="Times" w:hAnsi="Times" w:cs="Times"/>
          <w:color w:val="333333"/>
          <w:sz w:val="24"/>
          <w:szCs w:val="24"/>
        </w:rPr>
        <w:t>idential lease; or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(ii) without a lease or with a lease terminable under State law; and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(B) is on or in a covered property.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(2) </w:t>
      </w:r>
      <w:r>
        <w:rPr>
          <w:rFonts w:ascii="Times" w:hAnsi="Times" w:cs="Times"/>
          <w:color w:val="333333"/>
          <w:sz w:val="26"/>
          <w:szCs w:val="26"/>
        </w:rPr>
        <w:t>C</w:t>
      </w:r>
      <w:r>
        <w:rPr>
          <w:rFonts w:ascii="Times" w:hAnsi="Times" w:cs="Times"/>
          <w:color w:val="333333"/>
          <w:sz w:val="24"/>
          <w:szCs w:val="24"/>
        </w:rPr>
        <w:t xml:space="preserve">OVERED </w:t>
      </w:r>
      <w:proofErr w:type="gramStart"/>
      <w:r>
        <w:rPr>
          <w:rFonts w:ascii="Times" w:hAnsi="Times" w:cs="Times"/>
          <w:color w:val="333333"/>
          <w:sz w:val="24"/>
          <w:szCs w:val="24"/>
        </w:rPr>
        <w:t>PROPERTY.—</w:t>
      </w:r>
      <w:proofErr w:type="gramEnd"/>
      <w:r>
        <w:rPr>
          <w:rFonts w:ascii="Times" w:hAnsi="Times" w:cs="Times"/>
          <w:color w:val="333333"/>
          <w:sz w:val="24"/>
          <w:szCs w:val="24"/>
        </w:rPr>
        <w:t>The term “covered property” means any property that—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(A) participates in—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</w:t>
      </w:r>
      <w:proofErr w:type="spellStart"/>
      <w:r>
        <w:rPr>
          <w:rFonts w:ascii="Times" w:hAnsi="Times" w:cs="Times"/>
          <w:color w:val="333333"/>
          <w:sz w:val="24"/>
          <w:szCs w:val="24"/>
        </w:rPr>
        <w:t>i</w:t>
      </w:r>
      <w:proofErr w:type="spellEnd"/>
      <w:r>
        <w:rPr>
          <w:rFonts w:ascii="Times" w:hAnsi="Times" w:cs="Times"/>
          <w:color w:val="333333"/>
          <w:sz w:val="24"/>
          <w:szCs w:val="24"/>
        </w:rPr>
        <w:t>) a covered housing program (as defined in section 41411(a) of the Violence Against Women Act of 1994 (</w:t>
      </w:r>
      <w:hyperlink r:id="rId4" w:history="1">
        <w:r>
          <w:rPr>
            <w:rStyle w:val="Hyperlink"/>
            <w:rFonts w:ascii="Times" w:hAnsi="Times" w:cs="Times"/>
            <w:color w:val="3366CC"/>
            <w:sz w:val="24"/>
            <w:szCs w:val="24"/>
          </w:rPr>
          <w:t>34 U.S.C. 12491(a)</w:t>
        </w:r>
      </w:hyperlink>
      <w:r>
        <w:rPr>
          <w:rFonts w:ascii="Times" w:hAnsi="Times" w:cs="Times"/>
          <w:color w:val="333333"/>
          <w:sz w:val="24"/>
          <w:szCs w:val="24"/>
        </w:rPr>
        <w:t>)); or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(ii) the rural housing voucher program under section 542 of the Housing Act of 1949 (</w:t>
      </w:r>
      <w:hyperlink r:id="rId5" w:history="1">
        <w:r>
          <w:rPr>
            <w:rStyle w:val="Hyperlink"/>
            <w:rFonts w:ascii="Times" w:hAnsi="Times" w:cs="Times"/>
            <w:color w:val="3366CC"/>
            <w:sz w:val="24"/>
            <w:szCs w:val="24"/>
          </w:rPr>
          <w:t>42 U.S.C. 1490r</w:t>
        </w:r>
      </w:hyperlink>
      <w:r>
        <w:rPr>
          <w:rFonts w:ascii="Times" w:hAnsi="Times" w:cs="Times"/>
          <w:color w:val="333333"/>
          <w:sz w:val="24"/>
          <w:szCs w:val="24"/>
        </w:rPr>
        <w:t>); or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(B) has a—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</w:t>
      </w:r>
      <w:proofErr w:type="spellStart"/>
      <w:r>
        <w:rPr>
          <w:rFonts w:ascii="Times" w:hAnsi="Times" w:cs="Times"/>
          <w:color w:val="333333"/>
          <w:sz w:val="24"/>
          <w:szCs w:val="24"/>
        </w:rPr>
        <w:t>i</w:t>
      </w:r>
      <w:proofErr w:type="spellEnd"/>
      <w:r>
        <w:rPr>
          <w:rFonts w:ascii="Times" w:hAnsi="Times" w:cs="Times"/>
          <w:color w:val="333333"/>
          <w:sz w:val="24"/>
          <w:szCs w:val="24"/>
        </w:rPr>
        <w:t>) Federally backed mortgage loan; or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(ii) Federally backed multifamily mortgage loan.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(3) </w:t>
      </w:r>
      <w:proofErr w:type="gramStart"/>
      <w:r>
        <w:rPr>
          <w:rFonts w:ascii="Times" w:hAnsi="Times" w:cs="Times"/>
          <w:color w:val="333333"/>
          <w:sz w:val="26"/>
          <w:szCs w:val="26"/>
        </w:rPr>
        <w:t>D</w:t>
      </w:r>
      <w:r>
        <w:rPr>
          <w:rFonts w:ascii="Times" w:hAnsi="Times" w:cs="Times"/>
          <w:color w:val="333333"/>
          <w:sz w:val="24"/>
          <w:szCs w:val="24"/>
        </w:rPr>
        <w:t>WELLING.—</w:t>
      </w:r>
      <w:proofErr w:type="gramEnd"/>
      <w:r>
        <w:rPr>
          <w:rFonts w:ascii="Times" w:hAnsi="Times" w:cs="Times"/>
          <w:color w:val="333333"/>
          <w:sz w:val="24"/>
          <w:szCs w:val="24"/>
        </w:rPr>
        <w:t>The term “dwelling”—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(A) has the meaning given the term in section 802 of the Fair Housing Act (</w:t>
      </w:r>
      <w:hyperlink r:id="rId6" w:history="1">
        <w:r>
          <w:rPr>
            <w:rStyle w:val="Hyperlink"/>
            <w:rFonts w:ascii="Times" w:hAnsi="Times" w:cs="Times"/>
            <w:color w:val="3366CC"/>
            <w:sz w:val="24"/>
            <w:szCs w:val="24"/>
          </w:rPr>
          <w:t>42 U.S.C. 3602</w:t>
        </w:r>
      </w:hyperlink>
      <w:r>
        <w:rPr>
          <w:rFonts w:ascii="Times" w:hAnsi="Times" w:cs="Times"/>
          <w:color w:val="333333"/>
          <w:sz w:val="24"/>
          <w:szCs w:val="24"/>
        </w:rPr>
        <w:t>); and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(B) includes houses and dwellings described in section 803(b) of such Act (</w:t>
      </w:r>
      <w:hyperlink r:id="rId7" w:history="1">
        <w:r>
          <w:rPr>
            <w:rStyle w:val="Hyperlink"/>
            <w:rFonts w:ascii="Times" w:hAnsi="Times" w:cs="Times"/>
            <w:color w:val="3366CC"/>
            <w:sz w:val="24"/>
            <w:szCs w:val="24"/>
          </w:rPr>
          <w:t>42 U.S.C. 3603(b)</w:t>
        </w:r>
      </w:hyperlink>
      <w:r>
        <w:rPr>
          <w:rFonts w:ascii="Times" w:hAnsi="Times" w:cs="Times"/>
          <w:color w:val="333333"/>
          <w:sz w:val="24"/>
          <w:szCs w:val="24"/>
        </w:rPr>
        <w:t>).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(4) </w:t>
      </w:r>
      <w:r>
        <w:rPr>
          <w:rFonts w:ascii="Times" w:hAnsi="Times" w:cs="Times"/>
          <w:color w:val="333333"/>
          <w:sz w:val="26"/>
          <w:szCs w:val="26"/>
        </w:rPr>
        <w:t>F</w:t>
      </w:r>
      <w:r>
        <w:rPr>
          <w:rFonts w:ascii="Times" w:hAnsi="Times" w:cs="Times"/>
          <w:color w:val="333333"/>
          <w:sz w:val="24"/>
          <w:szCs w:val="24"/>
        </w:rPr>
        <w:t xml:space="preserve">EDERALLY BACKED MORTGAGE </w:t>
      </w:r>
      <w:proofErr w:type="gramStart"/>
      <w:r>
        <w:rPr>
          <w:rFonts w:ascii="Times" w:hAnsi="Times" w:cs="Times"/>
          <w:color w:val="333333"/>
          <w:sz w:val="24"/>
          <w:szCs w:val="24"/>
        </w:rPr>
        <w:t>LOAN.—</w:t>
      </w:r>
      <w:proofErr w:type="gramEnd"/>
      <w:r>
        <w:rPr>
          <w:rFonts w:ascii="Times" w:hAnsi="Times" w:cs="Times"/>
          <w:color w:val="333333"/>
          <w:sz w:val="24"/>
          <w:szCs w:val="24"/>
        </w:rPr>
        <w:t>The term “Federally backed mortgage loan” includes any loan (other than temporary financing such as a construction loan) that—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(A) is secured by a first or subordinate lien on residential real property (including individual units of condominiums and cooperatives) designed principally for the occupancy of from 1 to 4 families, including any such secured loan, the proceeds of which are used to prepay or pay off an existing loan secured by the same property; and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lastRenderedPageBreak/>
        <w:t>(B) is made in whole or in part, or insured, guaranteed, supplemented, or assisted in any way, by any officer or agency of the Federal Government or under or in connection with a housing or urban development program administered by the Secretary of Housing and Urban Development or a housing or related program administered by any other such officer or agency, or is purchased or securitized by the Federal Home Loan Mortgage Corporation or the Federal National Mortgage Association.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(5) </w:t>
      </w:r>
      <w:r>
        <w:rPr>
          <w:rFonts w:ascii="Times" w:hAnsi="Times" w:cs="Times"/>
          <w:color w:val="333333"/>
          <w:sz w:val="26"/>
          <w:szCs w:val="26"/>
        </w:rPr>
        <w:t>F</w:t>
      </w:r>
      <w:r>
        <w:rPr>
          <w:rFonts w:ascii="Times" w:hAnsi="Times" w:cs="Times"/>
          <w:color w:val="333333"/>
          <w:sz w:val="24"/>
          <w:szCs w:val="24"/>
        </w:rPr>
        <w:t xml:space="preserve">EDERALLY BACKED MULTIFAMILY MORTGAGE </w:t>
      </w:r>
      <w:proofErr w:type="gramStart"/>
      <w:r>
        <w:rPr>
          <w:rFonts w:ascii="Times" w:hAnsi="Times" w:cs="Times"/>
          <w:color w:val="333333"/>
          <w:sz w:val="24"/>
          <w:szCs w:val="24"/>
        </w:rPr>
        <w:t>LOAN.—</w:t>
      </w:r>
      <w:proofErr w:type="gramEnd"/>
      <w:r>
        <w:rPr>
          <w:rFonts w:ascii="Times" w:hAnsi="Times" w:cs="Times"/>
          <w:color w:val="333333"/>
          <w:sz w:val="24"/>
          <w:szCs w:val="24"/>
        </w:rPr>
        <w:t>The term “Federally backed multifamily mortgage loan” includes any loan (other than temporary financing such as a construction loan) that—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(A) is secured by a first or subordinate lien on residential multifamily real property designed principally for the occupancy of 5 or more families, including any such secured loan, the proceeds of which are used to prepay or pay off an existing loan secured by the same property; and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</w:rPr>
        <w:t>(B) is made in whole or in part, or insured, guaranteed, supplemented, or assisted in any way, by any officer or agency of the Federal Government or under or in connection with a housing or urban development program administered by the Secretary of Housing and Urban Development or a housing or related program administered by any other such officer or agency, or is purchased or securitized by the Federal Home Loan Mortgage Corporation or the Federal National Mortgage Association.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  <w:highlight w:val="yellow"/>
        </w:rPr>
      </w:pPr>
      <w:r>
        <w:rPr>
          <w:rFonts w:ascii="Times" w:hAnsi="Times" w:cs="Times"/>
          <w:color w:val="333333"/>
          <w:sz w:val="24"/>
          <w:szCs w:val="24"/>
          <w:highlight w:val="yellow"/>
        </w:rPr>
        <w:t>(b) </w:t>
      </w:r>
      <w:proofErr w:type="gramStart"/>
      <w:r>
        <w:rPr>
          <w:rFonts w:ascii="Times" w:hAnsi="Times" w:cs="Times"/>
          <w:smallCaps/>
          <w:color w:val="333333"/>
          <w:spacing w:val="20"/>
          <w:sz w:val="24"/>
          <w:szCs w:val="24"/>
          <w:highlight w:val="yellow"/>
        </w:rPr>
        <w:t>Moratorium</w:t>
      </w:r>
      <w:r>
        <w:rPr>
          <w:rFonts w:ascii="Times" w:hAnsi="Times" w:cs="Times"/>
          <w:color w:val="333333"/>
          <w:sz w:val="24"/>
          <w:szCs w:val="24"/>
          <w:highlight w:val="yellow"/>
        </w:rPr>
        <w:t>.—</w:t>
      </w:r>
      <w:proofErr w:type="gramEnd"/>
      <w:r>
        <w:rPr>
          <w:rFonts w:ascii="Times" w:hAnsi="Times" w:cs="Times"/>
          <w:color w:val="333333"/>
          <w:sz w:val="24"/>
          <w:szCs w:val="24"/>
          <w:highlight w:val="yellow"/>
        </w:rPr>
        <w:t>During the 120-day period beginning on the date of enactment of this Act, the lessor of a covered dwelling may not—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  <w:highlight w:val="yellow"/>
        </w:rPr>
      </w:pPr>
      <w:r>
        <w:rPr>
          <w:rFonts w:ascii="Times" w:hAnsi="Times" w:cs="Times"/>
          <w:color w:val="333333"/>
          <w:sz w:val="24"/>
          <w:szCs w:val="24"/>
          <w:highlight w:val="yellow"/>
        </w:rPr>
        <w:t>(1) make, or cause to be made, any filing with the court of jurisdiction to initiate a legal action to recover possession of the covered dwelling from the tenant for nonpayment of rent or other fees or charges; or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  <w:highlight w:val="yellow"/>
        </w:rPr>
      </w:pPr>
      <w:r>
        <w:rPr>
          <w:rFonts w:ascii="Times" w:hAnsi="Times" w:cs="Times"/>
          <w:color w:val="333333"/>
          <w:sz w:val="24"/>
          <w:szCs w:val="24"/>
          <w:highlight w:val="yellow"/>
        </w:rPr>
        <w:t>(2) charge fees, penalties, or other charges to the tenant related to such nonpayment of rent.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  <w:highlight w:val="yellow"/>
        </w:rPr>
      </w:pPr>
      <w:r>
        <w:rPr>
          <w:rFonts w:ascii="Times" w:hAnsi="Times" w:cs="Times"/>
          <w:color w:val="333333"/>
          <w:sz w:val="24"/>
          <w:szCs w:val="24"/>
          <w:highlight w:val="yellow"/>
        </w:rPr>
        <w:t>(c) </w:t>
      </w:r>
      <w:proofErr w:type="gramStart"/>
      <w:r>
        <w:rPr>
          <w:rFonts w:ascii="Times" w:hAnsi="Times" w:cs="Times"/>
          <w:smallCaps/>
          <w:color w:val="333333"/>
          <w:spacing w:val="20"/>
          <w:sz w:val="24"/>
          <w:szCs w:val="24"/>
          <w:highlight w:val="yellow"/>
        </w:rPr>
        <w:t>Notice</w:t>
      </w:r>
      <w:r>
        <w:rPr>
          <w:rFonts w:ascii="Times" w:hAnsi="Times" w:cs="Times"/>
          <w:color w:val="333333"/>
          <w:sz w:val="24"/>
          <w:szCs w:val="24"/>
          <w:highlight w:val="yellow"/>
        </w:rPr>
        <w:t>.—</w:t>
      </w:r>
      <w:proofErr w:type="gramEnd"/>
      <w:r>
        <w:rPr>
          <w:rFonts w:ascii="Times" w:hAnsi="Times" w:cs="Times"/>
          <w:color w:val="333333"/>
          <w:sz w:val="24"/>
          <w:szCs w:val="24"/>
          <w:highlight w:val="yellow"/>
        </w:rPr>
        <w:t>The lessor of a covered dwelling unit—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  <w:highlight w:val="yellow"/>
        </w:rPr>
      </w:pPr>
      <w:r>
        <w:rPr>
          <w:rFonts w:ascii="Times" w:hAnsi="Times" w:cs="Times"/>
          <w:color w:val="333333"/>
          <w:sz w:val="24"/>
          <w:szCs w:val="24"/>
          <w:highlight w:val="yellow"/>
        </w:rPr>
        <w:t>(1) may not require the tenant to vacate the covered dwelling unit before the date that is 30 days after the date on which the lessor provides the tenant with a notice to vacate; and</w:t>
      </w:r>
    </w:p>
    <w:p w:rsidR="00846D86" w:rsidRDefault="00846D86" w:rsidP="00846D86">
      <w:pPr>
        <w:shd w:val="clear" w:color="auto" w:fill="FFFFFF"/>
        <w:spacing w:before="100" w:beforeAutospacing="1" w:after="100" w:afterAutospacing="1"/>
        <w:ind w:firstLine="480"/>
        <w:rPr>
          <w:rFonts w:ascii="Times" w:hAnsi="Times" w:cs="Times"/>
          <w:color w:val="333333"/>
          <w:sz w:val="24"/>
          <w:szCs w:val="24"/>
        </w:rPr>
      </w:pPr>
      <w:r>
        <w:rPr>
          <w:rFonts w:ascii="Times" w:hAnsi="Times" w:cs="Times"/>
          <w:color w:val="333333"/>
          <w:sz w:val="24"/>
          <w:szCs w:val="24"/>
          <w:highlight w:val="yellow"/>
        </w:rPr>
        <w:t>(2) may not issue a notice to vacate under paragraph (1) until after the expiration of the period described in subsection (b).</w:t>
      </w:r>
    </w:p>
    <w:p w:rsidR="00163956" w:rsidRDefault="00163956"/>
    <w:sectPr w:rsidR="00163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86"/>
    <w:rsid w:val="00163956"/>
    <w:rsid w:val="008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A7A1"/>
  <w15:chartTrackingRefBased/>
  <w15:docId w15:val="{6172867A-412F-4014-8E84-E170C0D3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D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scode.house.gov/quicksearch/get.plx?title=42&amp;section=36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code.house.gov/quicksearch/get.plx?title=42&amp;section=3602" TargetMode="External"/><Relationship Id="rId5" Type="http://schemas.openxmlformats.org/officeDocument/2006/relationships/hyperlink" Target="http://uscode.house.gov/quicksearch/get.plx?title=42&amp;section=1490r" TargetMode="External"/><Relationship Id="rId4" Type="http://schemas.openxmlformats.org/officeDocument/2006/relationships/hyperlink" Target="http://uscode.house.gov/quicksearch/get.plx?title=34&amp;section=1249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Matesja D.</dc:creator>
  <cp:keywords/>
  <dc:description/>
  <cp:lastModifiedBy>Daniel, Matesja D.</cp:lastModifiedBy>
  <cp:revision>1</cp:revision>
  <dcterms:created xsi:type="dcterms:W3CDTF">2020-04-03T13:12:00Z</dcterms:created>
  <dcterms:modified xsi:type="dcterms:W3CDTF">2020-04-03T13:15:00Z</dcterms:modified>
</cp:coreProperties>
</file>